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
        <w:ind w:left="0" w:right="0" w:firstLine="720"/>
        <w:jc w:val="left"/>
        <w:rPr>
          <w:caps w:val="false"/>
          <w:smallCaps w:val="false"/>
        </w:rPr>
      </w:pPr>
      <w:bookmarkStart w:id="0" w:name="inseego_8k.htm"/>
      <w:bookmarkStart w:id="1" w:name="ksinseego_8k"/>
      <w:bookmarkEnd w:id="0"/>
      <w:bookmarkEnd w:id="1"/>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UNITED STATES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SECURITIES AND EXCHANGE COMMISSION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Washington, D.C. 20549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FORM </w:t>
      </w:r>
      <w:bookmarkStart w:id="2" w:name="xdx_905_edei--DocumentType_c20260914__20"/>
      <w:bookmarkEnd w:id="2"/>
      <w:r>
        <w:rPr>
          <w:rFonts w:ascii="Times New Roman;Times;Serif" w:hAnsi="Times New Roman;Times;Serif"/>
          <w:b/>
          <w:i w:val="false"/>
          <w:caps w:val="false"/>
          <w:smallCaps w:val="false"/>
          <w:sz w:val="28"/>
        </w:rPr>
        <w:t xml:space="preserve">8-K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CURRENT REPORT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1_edei--DocumentPeriodEndDate_c202"/>
      <w:bookmarkEnd w:id="3"/>
      <w:r>
        <w:rPr>
          <w:rFonts w:ascii="Times New Roman;Times;Serif" w:hAnsi="Times New Roman;Times;Serif"/>
          <w:b/>
          <w:i w:val="false"/>
          <w:caps w:val="false"/>
          <w:smallCaps w:val="false"/>
          <w:sz w:val="20"/>
        </w:rPr>
        <w:t>September 14,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120" w:after="0"/>
        <w:ind w:left="120" w:right="120" w:hanging="0"/>
        <w:jc w:val="center"/>
        <w:rPr>
          <w:rFonts w:ascii="Times New Roman;Times;Serif" w:hAnsi="Times New Roman;Times;Serif"/>
          <w:b/>
          <w:i w:val="false"/>
          <w:caps w:val="false"/>
          <w:smallCaps w:val="false"/>
          <w:sz w:val="28"/>
        </w:rPr>
      </w:pPr>
      <w:bookmarkStart w:id="4" w:name="xdx_907_edei--EntityRegistrantName_c2026"/>
      <w:bookmarkEnd w:id="4"/>
      <w:r>
        <w:rPr>
          <w:rFonts w:ascii="Times New Roman;Times;Serif" w:hAnsi="Times New Roman;Times;Serif"/>
          <w:b/>
          <w:i w:val="false"/>
          <w:caps w:val="false"/>
          <w:smallCaps w:val="false"/>
          <w:sz w:val="28"/>
        </w:rPr>
        <w:t xml:space="preserve">INSEEGO CORP.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6030" w:type="dxa"/>
        <w:jc w:val="left"/>
        <w:tblInd w:w="0" w:type="dxa"/>
        <w:tblLayout w:type="fixed"/>
        <w:tblCellMar>
          <w:top w:w="0" w:type="dxa"/>
          <w:left w:w="0" w:type="dxa"/>
          <w:bottom w:w="0" w:type="dxa"/>
          <w:right w:w="0" w:type="dxa"/>
        </w:tblCellMar>
      </w:tblPr>
      <w:tblGrid>
        <w:gridCol w:w="2165"/>
        <w:gridCol w:w="60"/>
        <w:gridCol w:w="2210"/>
        <w:gridCol w:w="60"/>
        <w:gridCol w:w="1535"/>
      </w:tblGrid>
      <w:tr>
        <w:trPr/>
        <w:tc>
          <w:tcPr>
            <w:tcW w:w="2165" w:type="dxa"/>
            <w:tcBorders/>
            <w:vAlign w:val="center"/>
          </w:tcPr>
          <w:p>
            <w:pPr>
              <w:pStyle w:val="TableContents"/>
              <w:bidi w:val="0"/>
              <w:spacing w:before="0" w:after="283"/>
              <w:jc w:val="center"/>
              <w:rPr>
                <w:b/>
                <w:sz w:val="20"/>
              </w:rPr>
            </w:pPr>
            <w:bookmarkStart w:id="5" w:name="xdx_90F_edei--EntityIncorporationStateCo"/>
            <w:bookmarkEnd w:id="5"/>
            <w:r>
              <w:rPr>
                <w:b/>
                <w:sz w:val="20"/>
              </w:rPr>
              <w:t>Delaware</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center"/>
              <w:rPr>
                <w:b/>
                <w:sz w:val="20"/>
              </w:rPr>
            </w:pPr>
            <w:bookmarkStart w:id="6" w:name="xdx_909_edei--EntityFileNumber_c20260914"/>
            <w:bookmarkEnd w:id="6"/>
            <w:r>
              <w:rPr>
                <w:b/>
                <w:sz w:val="20"/>
              </w:rPr>
              <w:t>001-38358</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b/>
                <w:sz w:val="20"/>
              </w:rPr>
            </w:pPr>
            <w:bookmarkStart w:id="7" w:name="xdx_90C_edei--EntityTaxIdentificationNum"/>
            <w:bookmarkEnd w:id="7"/>
            <w:r>
              <w:rPr>
                <w:b/>
                <w:sz w:val="20"/>
              </w:rPr>
              <w:t>81-3377646</w:t>
            </w:r>
          </w:p>
        </w:tc>
      </w:tr>
      <w:tr>
        <w:trPr/>
        <w:tc>
          <w:tcPr>
            <w:tcW w:w="216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D_edei--EntityAddressAddressLine1_"/>
      <w:bookmarkEnd w:id="8"/>
      <w:r>
        <w:rPr>
          <w:rFonts w:ascii="Times New Roman;Times;Serif" w:hAnsi="Times New Roman;Times;Serif"/>
          <w:b/>
          <w:i w:val="false"/>
          <w:caps w:val="false"/>
          <w:smallCaps w:val="false"/>
          <w:sz w:val="20"/>
        </w:rPr>
        <w:t xml:space="preserve">9710 Scranton Road, </w:t>
      </w:r>
      <w:bookmarkStart w:id="9" w:name="xdx_906_edei--EntityAddressAddressLine2_"/>
      <w:bookmarkEnd w:id="9"/>
      <w:r>
        <w:rPr>
          <w:rFonts w:ascii="Times New Roman;Times;Serif" w:hAnsi="Times New Roman;Times;Serif"/>
          <w:b/>
          <w:i w:val="false"/>
          <w:caps w:val="false"/>
          <w:smallCaps w:val="false"/>
          <w:sz w:val="20"/>
        </w:rPr>
        <w:t>Suite 200</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xdx_902_edei--EntityAddressCityOrTown_c2"/>
      <w:bookmarkEnd w:id="10"/>
      <w:r>
        <w:rPr>
          <w:rFonts w:ascii="Times New Roman;Times;Serif" w:hAnsi="Times New Roman;Times;Serif"/>
          <w:b/>
          <w:i w:val="false"/>
          <w:caps w:val="false"/>
          <w:smallCaps w:val="false"/>
          <w:sz w:val="20"/>
        </w:rPr>
        <w:t xml:space="preserve">San Diego, </w:t>
      </w:r>
      <w:bookmarkStart w:id="11" w:name="xdx_90B_edei--EntityAddressStateOrProvin"/>
      <w:bookmarkEnd w:id="11"/>
      <w:r>
        <w:rPr>
          <w:rFonts w:ascii="Times New Roman;Times;Serif" w:hAnsi="Times New Roman;Times;Serif"/>
          <w:b/>
          <w:i w:val="false"/>
          <w:caps w:val="false"/>
          <w:smallCaps w:val="false"/>
          <w:sz w:val="20"/>
        </w:rPr>
        <w:t xml:space="preserve">California </w:t>
      </w:r>
      <w:bookmarkStart w:id="12" w:name="xdx_90D_edei--EntityAddressPostalZipCode"/>
      <w:bookmarkEnd w:id="12"/>
      <w:r>
        <w:rPr>
          <w:rFonts w:ascii="Times New Roman;Times;Serif" w:hAnsi="Times New Roman;Times;Serif"/>
          <w:b/>
          <w:i w:val="false"/>
          <w:caps w:val="false"/>
          <w:smallCaps w:val="false"/>
          <w:sz w:val="20"/>
        </w:rPr>
        <w:t>92121</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(Address of principal executive offices) (Zip Code)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t>
      </w:r>
      <w:bookmarkStart w:id="13" w:name="xdx_906_edei--CityAreaCode_c20260914__20"/>
      <w:bookmarkEnd w:id="13"/>
      <w:r>
        <w:rPr>
          <w:rFonts w:ascii="Times New Roman;Times;Serif" w:hAnsi="Times New Roman;Times;Serif"/>
          <w:b/>
          <w:i w:val="false"/>
          <w:caps w:val="false"/>
          <w:smallCaps w:val="false"/>
          <w:sz w:val="20"/>
        </w:rPr>
        <w:t>858)</w:t>
      </w:r>
      <w:r>
        <w:rPr>
          <w:rFonts w:ascii="Times New Roman;Times;Serif" w:hAnsi="Times New Roman;Times;Serif"/>
          <w:b w:val="false"/>
          <w:i w:val="false"/>
          <w:caps w:val="false"/>
          <w:smallCaps w:val="false"/>
          <w:sz w:val="20"/>
        </w:rPr>
        <w:t xml:space="preserve"> </w:t>
      </w:r>
      <w:bookmarkStart w:id="14" w:name="xdx_90B_edei--LocalPhoneNumber_c20260914"/>
      <w:bookmarkEnd w:id="14"/>
      <w:r>
        <w:rPr>
          <w:rFonts w:ascii="Times New Roman;Times;Serif" w:hAnsi="Times New Roman;Times;Serif"/>
          <w:b/>
          <w:i w:val="false"/>
          <w:caps w:val="false"/>
          <w:smallCaps w:val="false"/>
          <w:sz w:val="20"/>
        </w:rPr>
        <w:t>812-3400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585" w:type="dxa"/>
        <w:jc w:val="left"/>
        <w:tblInd w:w="0" w:type="dxa"/>
        <w:tblLayout w:type="fixed"/>
        <w:tblCellMar>
          <w:top w:w="0" w:type="dxa"/>
          <w:left w:w="0" w:type="dxa"/>
          <w:bottom w:w="0" w:type="dxa"/>
          <w:right w:w="0" w:type="dxa"/>
        </w:tblCellMar>
      </w:tblPr>
      <w:tblGrid>
        <w:gridCol w:w="245"/>
        <w:gridCol w:w="7340"/>
      </w:tblGrid>
      <w:tr>
        <w:trPr/>
        <w:tc>
          <w:tcPr>
            <w:tcW w:w="245" w:type="dxa"/>
            <w:tcBorders/>
            <w:vAlign w:val="center"/>
          </w:tcPr>
          <w:p>
            <w:pPr>
              <w:pStyle w:val="TableContents"/>
              <w:bidi w:val="0"/>
              <w:spacing w:before="0" w:after="283"/>
              <w:jc w:val="left"/>
              <w:rPr/>
            </w:pPr>
            <w:bookmarkStart w:id="15" w:name="xdx_90F_edei--WrittenCommunications_c202"/>
            <w:bookmarkEnd w:id="15"/>
            <w:r>
              <w:rPr/>
              <w:t>☐</w:t>
            </w:r>
          </w:p>
        </w:tc>
        <w:tc>
          <w:tcPr>
            <w:tcW w:w="7340" w:type="dxa"/>
            <w:tcBorders/>
            <w:vAlign w:val="center"/>
          </w:tcPr>
          <w:p>
            <w:pPr>
              <w:pStyle w:val="TableContents"/>
              <w:bidi w:val="0"/>
              <w:spacing w:before="0" w:after="283"/>
              <w:jc w:val="left"/>
              <w:rPr>
                <w:sz w:val="20"/>
              </w:rPr>
            </w:pPr>
            <w:r>
              <w:rPr>
                <w:sz w:val="20"/>
              </w:rPr>
              <w:t xml:space="preserve">Written communications pursuant to Rule 425 under the Securities Act (17 CFR 230.425) </w:t>
            </w:r>
          </w:p>
        </w:tc>
      </w:tr>
    </w:tbl>
    <w:p>
      <w:pPr>
        <w:pStyle w:val="TextBody"/>
        <w:bidi w:val="0"/>
        <w:spacing w:before="0" w:after="0"/>
        <w:ind w:left="0" w:right="0" w:hanging="0"/>
        <w:jc w:val="left"/>
        <w:rPr>
          <w:caps w:val="false"/>
          <w:smallCaps w:val="false"/>
        </w:rPr>
      </w:pPr>
      <w:r>
        <w:rPr>
          <w:caps w:val="false"/>
          <w:smallCaps w:val="false"/>
        </w:rPr>
        <w:t> </w:t>
      </w:r>
    </w:p>
    <w:tbl>
      <w:tblPr>
        <w:tblW w:w="7615" w:type="dxa"/>
        <w:jc w:val="left"/>
        <w:tblInd w:w="0" w:type="dxa"/>
        <w:tblLayout w:type="fixed"/>
        <w:tblCellMar>
          <w:top w:w="0" w:type="dxa"/>
          <w:left w:w="0" w:type="dxa"/>
          <w:bottom w:w="0" w:type="dxa"/>
          <w:right w:w="0" w:type="dxa"/>
        </w:tblCellMar>
      </w:tblPr>
      <w:tblGrid>
        <w:gridCol w:w="245"/>
        <w:gridCol w:w="7370"/>
      </w:tblGrid>
      <w:tr>
        <w:trPr/>
        <w:tc>
          <w:tcPr>
            <w:tcW w:w="245" w:type="dxa"/>
            <w:tcBorders/>
            <w:vAlign w:val="center"/>
          </w:tcPr>
          <w:p>
            <w:pPr>
              <w:pStyle w:val="TableContents"/>
              <w:bidi w:val="0"/>
              <w:spacing w:before="0" w:after="283"/>
              <w:jc w:val="left"/>
              <w:rPr/>
            </w:pPr>
            <w:bookmarkStart w:id="16" w:name="xdx_90A_edei--SolicitingMaterial_c202609"/>
            <w:bookmarkEnd w:id="16"/>
            <w:r>
              <w:rPr/>
              <w:t>☐</w:t>
            </w:r>
          </w:p>
        </w:tc>
        <w:tc>
          <w:tcPr>
            <w:tcW w:w="7370" w:type="dxa"/>
            <w:tcBorders/>
            <w:vAlign w:val="center"/>
          </w:tcPr>
          <w:p>
            <w:pPr>
              <w:pStyle w:val="TableContents"/>
              <w:bidi w:val="0"/>
              <w:spacing w:before="0" w:after="283"/>
              <w:jc w:val="left"/>
              <w:rPr>
                <w:sz w:val="20"/>
              </w:rPr>
            </w:pPr>
            <w:r>
              <w:rPr>
                <w:sz w:val="20"/>
              </w:rPr>
              <w:t xml:space="preserve">Soliciting material pursuant to Rule 14a-12 under the Exchange Act (17 CFR 240.14a-12) </w:t>
            </w:r>
          </w:p>
        </w:tc>
      </w:tr>
    </w:tbl>
    <w:p>
      <w:pPr>
        <w:pStyle w:val="TextBody"/>
        <w:bidi w:val="0"/>
        <w:spacing w:before="0" w:after="0"/>
        <w:ind w:left="0" w:right="0" w:hanging="0"/>
        <w:jc w:val="left"/>
        <w:rPr>
          <w:caps w:val="false"/>
          <w:smallCaps w:val="false"/>
        </w:rPr>
      </w:pPr>
      <w:r>
        <w:rPr>
          <w:caps w:val="false"/>
          <w:smallCaps w:val="false"/>
        </w:rPr>
        <w:t> </w:t>
      </w:r>
    </w:p>
    <w:tbl>
      <w:tblPr>
        <w:tblW w:w="9355" w:type="dxa"/>
        <w:jc w:val="left"/>
        <w:tblInd w:w="0" w:type="dxa"/>
        <w:tblLayout w:type="fixed"/>
        <w:tblCellMar>
          <w:top w:w="0" w:type="dxa"/>
          <w:left w:w="0" w:type="dxa"/>
          <w:bottom w:w="0" w:type="dxa"/>
          <w:right w:w="0" w:type="dxa"/>
        </w:tblCellMar>
      </w:tblPr>
      <w:tblGrid>
        <w:gridCol w:w="245"/>
        <w:gridCol w:w="9110"/>
      </w:tblGrid>
      <w:tr>
        <w:trPr/>
        <w:tc>
          <w:tcPr>
            <w:tcW w:w="245" w:type="dxa"/>
            <w:tcBorders/>
            <w:vAlign w:val="center"/>
          </w:tcPr>
          <w:p>
            <w:pPr>
              <w:pStyle w:val="TableContents"/>
              <w:bidi w:val="0"/>
              <w:spacing w:before="0" w:after="283"/>
              <w:jc w:val="left"/>
              <w:rPr/>
            </w:pPr>
            <w:bookmarkStart w:id="17" w:name="xdx_903_edei--PreCommencementTenderOffer"/>
            <w:bookmarkEnd w:id="17"/>
            <w:r>
              <w:rPr/>
              <w:t>☐</w:t>
            </w:r>
          </w:p>
        </w:tc>
        <w:tc>
          <w:tcPr>
            <w:tcW w:w="9110" w:type="dxa"/>
            <w:tcBorders/>
            <w:vAlign w:val="center"/>
          </w:tcPr>
          <w:p>
            <w:pPr>
              <w:pStyle w:val="TableContents"/>
              <w:bidi w:val="0"/>
              <w:spacing w:before="0" w:after="283"/>
              <w:jc w:val="left"/>
              <w:rPr>
                <w:sz w:val="20"/>
              </w:rPr>
            </w:pPr>
            <w:r>
              <w:rPr>
                <w:sz w:val="20"/>
              </w:rPr>
              <w:t xml:space="preserve">Pre-commencement communications pursuant to Rule 14d-2(b) under the Exchange Act (17 CFR 240.14d-2(b)) </w:t>
            </w:r>
          </w:p>
        </w:tc>
      </w:tr>
    </w:tbl>
    <w:p>
      <w:pPr>
        <w:pStyle w:val="TextBody"/>
        <w:bidi w:val="0"/>
        <w:spacing w:before="0" w:after="0"/>
        <w:ind w:left="0" w:right="0" w:hanging="0"/>
        <w:jc w:val="left"/>
        <w:rPr>
          <w:caps w:val="false"/>
          <w:smallCaps w:val="false"/>
        </w:rPr>
      </w:pPr>
      <w:r>
        <w:rPr>
          <w:caps w:val="false"/>
          <w:smallCaps w:val="false"/>
        </w:rPr>
        <w:t> </w:t>
      </w:r>
    </w:p>
    <w:tbl>
      <w:tblPr>
        <w:tblW w:w="9295" w:type="dxa"/>
        <w:jc w:val="left"/>
        <w:tblInd w:w="0" w:type="dxa"/>
        <w:tblLayout w:type="fixed"/>
        <w:tblCellMar>
          <w:top w:w="0" w:type="dxa"/>
          <w:left w:w="0" w:type="dxa"/>
          <w:bottom w:w="0" w:type="dxa"/>
          <w:right w:w="0" w:type="dxa"/>
        </w:tblCellMar>
      </w:tblPr>
      <w:tblGrid>
        <w:gridCol w:w="245"/>
        <w:gridCol w:w="9050"/>
      </w:tblGrid>
      <w:tr>
        <w:trPr/>
        <w:tc>
          <w:tcPr>
            <w:tcW w:w="245" w:type="dxa"/>
            <w:tcBorders/>
            <w:vAlign w:val="center"/>
          </w:tcPr>
          <w:p>
            <w:pPr>
              <w:pStyle w:val="TableContents"/>
              <w:bidi w:val="0"/>
              <w:spacing w:before="0" w:after="283"/>
              <w:jc w:val="left"/>
              <w:rPr/>
            </w:pPr>
            <w:bookmarkStart w:id="18" w:name="xdx_902_edei--PreCommencementIssuerTende"/>
            <w:bookmarkEnd w:id="18"/>
            <w:r>
              <w:rPr/>
              <w:t>☐</w:t>
            </w:r>
          </w:p>
        </w:tc>
        <w:tc>
          <w:tcPr>
            <w:tcW w:w="9050" w:type="dxa"/>
            <w:tcBorders/>
            <w:vAlign w:val="center"/>
          </w:tcPr>
          <w:p>
            <w:pPr>
              <w:pStyle w:val="TableContents"/>
              <w:bidi w:val="0"/>
              <w:spacing w:before="0" w:after="283"/>
              <w:jc w:val="left"/>
              <w:rPr>
                <w:sz w:val="20"/>
              </w:rPr>
            </w:pPr>
            <w:r>
              <w:rPr>
                <w:sz w:val="20"/>
              </w:rPr>
              <w:t xml:space="preserve">Pre-commencement communications pursuant to Rule 13e-4(c) under the Exchange Act (17 CFR 240.13e-4(c)) </w:t>
            </w:r>
          </w:p>
        </w:tc>
      </w:tr>
    </w:tbl>
    <w:p>
      <w:pPr>
        <w:pStyle w:val="TextBody"/>
        <w:bidi w:val="0"/>
        <w:spacing w:before="0" w:after="0"/>
        <w:ind w:left="0" w:right="0" w:hanging="0"/>
        <w:jc w:val="left"/>
        <w:rPr>
          <w:caps w:val="false"/>
          <w:smallCaps w:val="false"/>
        </w:rPr>
      </w:pPr>
      <w:r>
        <w:rPr>
          <w:caps w:val="false"/>
          <w:smallCaps w:val="false"/>
        </w:rPr>
        <w:t> </w:t>
      </w:r>
    </w:p>
    <w:tbl>
      <w:tblPr>
        <w:tblW w:w="8805" w:type="dxa"/>
        <w:jc w:val="left"/>
        <w:tblInd w:w="0" w:type="dxa"/>
        <w:tblLayout w:type="fixed"/>
        <w:tblCellMar>
          <w:top w:w="0" w:type="dxa"/>
          <w:left w:w="0" w:type="dxa"/>
          <w:bottom w:w="28" w:type="dxa"/>
          <w:right w:w="0" w:type="dxa"/>
        </w:tblCellMar>
      </w:tblPr>
      <w:tblGrid>
        <w:gridCol w:w="3500"/>
        <w:gridCol w:w="1610"/>
        <w:gridCol w:w="3695"/>
      </w:tblGrid>
      <w:tr>
        <w:trPr/>
        <w:tc>
          <w:tcPr>
            <w:tcW w:w="3500" w:type="dxa"/>
            <w:tcBorders>
              <w:bottom w:val="single" w:sz="8" w:space="0" w:color="000000"/>
            </w:tcBorders>
            <w:vAlign w:val="center"/>
          </w:tcPr>
          <w:p>
            <w:pPr>
              <w:pStyle w:val="TableContents"/>
              <w:bidi w:val="0"/>
              <w:spacing w:before="0" w:after="283"/>
              <w:jc w:val="center"/>
              <w:rPr>
                <w:b/>
                <w:sz w:val="20"/>
              </w:rPr>
            </w:pPr>
            <w:r>
              <w:rPr>
                <w:b/>
                <w:sz w:val="20"/>
              </w:rPr>
              <w:t>Title of each class</w:t>
            </w:r>
          </w:p>
        </w:tc>
        <w:tc>
          <w:tcPr>
            <w:tcW w:w="1610" w:type="dxa"/>
            <w:tcBorders>
              <w:bottom w:val="single" w:sz="8" w:space="0" w:color="000000"/>
            </w:tcBorders>
            <w:vAlign w:val="center"/>
          </w:tcPr>
          <w:p>
            <w:pPr>
              <w:pStyle w:val="TableContents"/>
              <w:bidi w:val="0"/>
              <w:spacing w:before="0" w:after="283"/>
              <w:jc w:val="center"/>
              <w:rPr>
                <w:b/>
                <w:sz w:val="20"/>
              </w:rPr>
            </w:pPr>
            <w:r>
              <w:rPr>
                <w:b/>
                <w:sz w:val="20"/>
              </w:rPr>
              <w:t>Trading Symbol(s)</w:t>
            </w:r>
          </w:p>
        </w:tc>
        <w:tc>
          <w:tcPr>
            <w:tcW w:w="3695" w:type="dxa"/>
            <w:tcBorders>
              <w:bottom w:val="single" w:sz="8" w:space="0" w:color="000000"/>
            </w:tcBorders>
            <w:vAlign w:val="center"/>
          </w:tcPr>
          <w:p>
            <w:pPr>
              <w:pStyle w:val="TableContents"/>
              <w:bidi w:val="0"/>
              <w:spacing w:before="0" w:after="283"/>
              <w:jc w:val="center"/>
              <w:rPr>
                <w:b/>
                <w:sz w:val="20"/>
              </w:rPr>
            </w:pPr>
            <w:r>
              <w:rPr>
                <w:b/>
                <w:sz w:val="20"/>
              </w:rPr>
              <w:t>Name of each exchange on which registered</w:t>
            </w:r>
          </w:p>
        </w:tc>
      </w:tr>
      <w:tr>
        <w:trPr/>
        <w:tc>
          <w:tcPr>
            <w:tcW w:w="3500" w:type="dxa"/>
            <w:tcBorders/>
            <w:tcMar>
              <w:bottom w:w="0" w:type="dxa"/>
            </w:tcMar>
            <w:vAlign w:val="center"/>
          </w:tcPr>
          <w:p>
            <w:pPr>
              <w:pStyle w:val="TableContents"/>
              <w:bidi w:val="0"/>
              <w:spacing w:before="0" w:after="283"/>
              <w:jc w:val="center"/>
              <w:rPr>
                <w:sz w:val="20"/>
              </w:rPr>
            </w:pPr>
            <w:bookmarkStart w:id="19" w:name="xdx_906_edei--Security12bTitle_c20260914"/>
            <w:bookmarkEnd w:id="19"/>
            <w:r>
              <w:rPr>
                <w:sz w:val="20"/>
              </w:rPr>
              <w:t>Common Stock, par value $0.001 per share</w:t>
            </w:r>
          </w:p>
        </w:tc>
        <w:tc>
          <w:tcPr>
            <w:tcW w:w="1610" w:type="dxa"/>
            <w:tcBorders/>
            <w:tcMar>
              <w:bottom w:w="0" w:type="dxa"/>
            </w:tcMar>
            <w:vAlign w:val="center"/>
          </w:tcPr>
          <w:p>
            <w:pPr>
              <w:pStyle w:val="TableContents"/>
              <w:bidi w:val="0"/>
              <w:spacing w:before="0" w:after="283"/>
              <w:jc w:val="center"/>
              <w:rPr>
                <w:sz w:val="20"/>
              </w:rPr>
            </w:pPr>
            <w:bookmarkStart w:id="20" w:name="xdx_90E_edei--TradingSymbol_c20260914__2"/>
            <w:bookmarkEnd w:id="20"/>
            <w:r>
              <w:rPr>
                <w:sz w:val="20"/>
              </w:rPr>
              <w:t>INSG</w:t>
            </w:r>
          </w:p>
        </w:tc>
        <w:tc>
          <w:tcPr>
            <w:tcW w:w="3695" w:type="dxa"/>
            <w:tcBorders/>
            <w:tcMar>
              <w:bottom w:w="0" w:type="dxa"/>
            </w:tcMar>
            <w:vAlign w:val="center"/>
          </w:tcPr>
          <w:p>
            <w:pPr>
              <w:pStyle w:val="TableContents"/>
              <w:bidi w:val="0"/>
              <w:spacing w:before="0" w:after="283"/>
              <w:jc w:val="center"/>
              <w:rPr>
                <w:sz w:val="20"/>
              </w:rPr>
            </w:pPr>
            <w:bookmarkStart w:id="21" w:name="xdx_904_edei--SecurityExchangeName_c2026"/>
            <w:bookmarkEnd w:id="21"/>
            <w:r>
              <w:rPr>
                <w:sz w:val="20"/>
              </w:rPr>
              <w:t>Nasdaq Global Select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B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3"/>
        <w:gridCol w:w="9452"/>
      </w:tblGrid>
      <w:tr>
        <w:trPr/>
        <w:tc>
          <w:tcPr>
            <w:tcW w:w="753" w:type="dxa"/>
            <w:tcBorders/>
            <w:shd w:fill="FFFFFF" w:val="clear"/>
            <w:vAlign w:val="center"/>
          </w:tcPr>
          <w:p>
            <w:pPr>
              <w:pStyle w:val="TableContents"/>
              <w:bidi w:val="0"/>
              <w:spacing w:before="0" w:after="283"/>
              <w:jc w:val="left"/>
              <w:rPr>
                <w:b/>
                <w:sz w:val="20"/>
              </w:rPr>
            </w:pPr>
            <w:r>
              <w:rPr>
                <w:b/>
                <w:sz w:val="20"/>
              </w:rPr>
              <w:t>Item 5.02.</w:t>
            </w:r>
          </w:p>
        </w:tc>
        <w:tc>
          <w:tcPr>
            <w:tcW w:w="9452" w:type="dxa"/>
            <w:tcBorders/>
            <w:shd w:fill="FFFFFF" w:val="clear"/>
            <w:vAlign w:val="center"/>
          </w:tcPr>
          <w:p>
            <w:pPr>
              <w:pStyle w:val="TableContents"/>
              <w:bidi w:val="0"/>
              <w:spacing w:before="0" w:after="283"/>
              <w:jc w:val="both"/>
              <w:rPr>
                <w:b/>
                <w:sz w:val="20"/>
              </w:rPr>
            </w:pPr>
            <w:r>
              <w:rPr>
                <w:b/>
                <w:sz w:val="20"/>
              </w:rPr>
              <w:t>Departure of Directors or Certain Officers; Election of Directors; Appointment of Certain Officers; Compensatory Arrangements of Certain Officer.</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14, 2026, Stephen Bye provided Inseego Corp. (“Inseego” or the “Company”) with written notice of his resignation, effective as of September 30, 2026, from the Board of Directors of the Company, in light of his forthcoming appointment as Chief Executive Officer of WW International, Inc. (Nasdaq: WW). Mr. Bye’s resignation was not the result of any disagreement with the Company on any matter relating to the Company’s operations, policies or practices.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SIGNATURE</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Current Report on Form 8-K to be signed on its behalf by the undersigned hereunto duly authorized.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tbl>
      <w:tblPr>
        <w:tblW w:w="5115" w:type="dxa"/>
        <w:jc w:val="left"/>
        <w:tblInd w:w="0" w:type="dxa"/>
        <w:tblLayout w:type="fixed"/>
        <w:tblCellMar>
          <w:top w:w="0" w:type="dxa"/>
          <w:left w:w="0" w:type="dxa"/>
          <w:bottom w:w="0" w:type="dxa"/>
          <w:right w:w="0" w:type="dxa"/>
        </w:tblCellMar>
      </w:tblPr>
      <w:tblGrid>
        <w:gridCol w:w="2510"/>
        <w:gridCol w:w="320"/>
        <w:gridCol w:w="2210"/>
        <w:gridCol w:w="75"/>
      </w:tblGrid>
      <w:tr>
        <w:trPr/>
        <w:tc>
          <w:tcPr>
            <w:tcW w:w="2510" w:type="dxa"/>
            <w:tcBorders/>
            <w:vAlign w:val="center"/>
          </w:tcPr>
          <w:p>
            <w:pPr>
              <w:pStyle w:val="TableContents"/>
              <w:bidi w:val="0"/>
              <w:spacing w:before="0" w:after="283"/>
              <w:jc w:val="left"/>
              <w:rPr/>
            </w:pPr>
            <w:r>
              <w:rPr/>
              <w:t> </w:t>
            </w:r>
          </w:p>
        </w:tc>
        <w:tc>
          <w:tcPr>
            <w:tcW w:w="2530" w:type="dxa"/>
            <w:gridSpan w:val="2"/>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INSEEGO CORP.</w:t>
            </w:r>
          </w:p>
        </w:tc>
        <w:tc>
          <w:tcPr>
            <w:tcW w:w="75" w:type="dxa"/>
            <w:tcBorders/>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2210" w:type="dxa"/>
            <w:tcBorders>
              <w:bottom w:val="single" w:sz="8" w:space="0" w:color="000000"/>
            </w:tcBorders>
            <w:tcMar>
              <w:bottom w:w="28" w:type="dxa"/>
            </w:tcMar>
            <w:vAlign w:val="center"/>
          </w:tcPr>
          <w:p>
            <w:pPr>
              <w:pStyle w:val="TableContents"/>
              <w:bidi w:val="0"/>
              <w:spacing w:before="0" w:after="283"/>
              <w:jc w:val="left"/>
              <w:rPr>
                <w:sz w:val="20"/>
              </w:rPr>
            </w:pPr>
            <w:r>
              <w:rPr>
                <w:sz w:val="20"/>
              </w:rPr>
              <w:t>/s/ Steven Gatoff</w:t>
            </w:r>
          </w:p>
        </w:tc>
        <w:tc>
          <w:tcPr>
            <w:tcW w:w="75" w:type="dxa"/>
            <w:tcBorders/>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left"/>
              <w:rPr/>
            </w:pPr>
            <w:r>
              <w:rPr/>
              <w:t>Steven Gatoff</w:t>
            </w:r>
          </w:p>
        </w:tc>
        <w:tc>
          <w:tcPr>
            <w:tcW w:w="75" w:type="dxa"/>
            <w:tcBorders/>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left"/>
              <w:rPr/>
            </w:pPr>
            <w:r>
              <w:rPr/>
              <w:t>Chief Financial Officer</w:t>
            </w:r>
          </w:p>
        </w:tc>
        <w:tc>
          <w:tcPr>
            <w:tcW w:w="75" w:type="dxa"/>
            <w:tcBorders/>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left"/>
              <w:rPr/>
            </w:pPr>
            <w:r>
              <w:rPr/>
              <w:t>Date: September 14, 2026</w:t>
            </w:r>
          </w:p>
        </w:tc>
        <w:tc>
          <w:tcPr>
            <w:tcW w:w="32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437</Words>
  <Characters>2425</Characters>
  <CharactersWithSpaces>2896</CharactersWithSpaces>
  <Paragraphs>133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